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MODEL ORDINANCE FOR LOCAL CITIES TO PREVENT HOUSING LOSS DUE TO COVID-19</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WHEREAS, on February 29, 2020, Governor Inslsee issued Proclamation 20-05, proclaiming a State of Emergency for all counties throughout Washington State as a result of the coronavirus disease 2019 (COVID-19) outbreak in the United States and confirmed person-to-person spread of COVID-19 in Washington State;</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WHEREAS, as a result of the continued worldwide spread of COVID-19, its significant progression in Washington State, and the high risk it poses to our most vulnerable populations, Governor Inslee has subsequently issued amendatory Proclamations 20-06 through 20-50 exercising my emergency powers under RCW 43.06.220 by prohibiting certain activities and waiving and suspending specified laws and regulations;</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WHEREAS, the COVID-19 pandemic is causing a sustained global economic slowdown, and an economic downturn throughout Washington State with unprecedented numbers of layoffs and reduced work hours for a significant percentage of our workforce due to substantial reductions in business activity impacting our commercial sectors that support our state’s economic vitality, including severe impacts to the large number of small businesses that make Washington State’s economy thrive;</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WHEREAS, many of our workforce expected to be impacted by these layoffs and substantially reduced work hours are anticipated to suffer economic hardship that will disproportionately affect low and moderate income workers resulting in lost wages and potentially the inability to pay for basic household expenses, including rent;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WHEREAS, the inability to pay rent by these members of our workforce increases the likelihood of eviction from their homes, increasing the life, health and safety risks to a significant percentage of our people from the COVID-19 pandemic;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WHEREAS, in King County, people of color have been disproportionately impacted by the economic shutdown, with some groups experiencing unemployment rates at 39% in King County;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color w:val="333333"/>
          <w:sz w:val="24"/>
          <w:szCs w:val="24"/>
          <w:highlight w:val="white"/>
        </w:rPr>
      </w:pPr>
      <w:r w:rsidDel="00000000" w:rsidR="00000000" w:rsidRPr="00000000">
        <w:rPr>
          <w:sz w:val="24"/>
          <w:szCs w:val="24"/>
          <w:rtl w:val="0"/>
        </w:rPr>
        <w:t xml:space="preserve">WHEREAS, only 57% of renters can afford a $400 unexpected expense based on the </w:t>
      </w:r>
      <w:r w:rsidDel="00000000" w:rsidR="00000000" w:rsidRPr="00000000">
        <w:rPr>
          <w:color w:val="333333"/>
          <w:sz w:val="24"/>
          <w:szCs w:val="24"/>
          <w:highlight w:val="white"/>
          <w:rtl w:val="0"/>
        </w:rPr>
        <w:t xml:space="preserve">Board of Governors of the Federal Reserve System’s</w:t>
      </w:r>
      <w:r w:rsidDel="00000000" w:rsidR="00000000" w:rsidRPr="00000000">
        <w:rPr>
          <w:sz w:val="24"/>
          <w:szCs w:val="24"/>
          <w:rtl w:val="0"/>
        </w:rPr>
        <w:t xml:space="preserve">  “</w:t>
      </w:r>
      <w:r w:rsidDel="00000000" w:rsidR="00000000" w:rsidRPr="00000000">
        <w:rPr>
          <w:color w:val="333333"/>
          <w:sz w:val="24"/>
          <w:szCs w:val="24"/>
          <w:highlight w:val="white"/>
          <w:rtl w:val="0"/>
        </w:rPr>
        <w:t xml:space="preserve">Report on the Economic Well-Being of U.S. Households in 2019, Featuring Supplemental Data from April 2020,” </w:t>
      </w:r>
    </w:p>
    <w:p w:rsidR="00000000" w:rsidDel="00000000" w:rsidP="00000000" w:rsidRDefault="00000000" w:rsidRPr="00000000" w14:paraId="00000010">
      <w:pPr>
        <w:jc w:val="both"/>
        <w:rPr>
          <w:color w:val="333333"/>
          <w:sz w:val="24"/>
          <w:szCs w:val="24"/>
          <w:highlight w:val="white"/>
        </w:rPr>
      </w:pPr>
      <w:r w:rsidDel="00000000" w:rsidR="00000000" w:rsidRPr="00000000">
        <w:rPr>
          <w:rtl w:val="0"/>
        </w:rPr>
      </w:r>
    </w:p>
    <w:p w:rsidR="00000000" w:rsidDel="00000000" w:rsidP="00000000" w:rsidRDefault="00000000" w:rsidRPr="00000000" w14:paraId="00000011">
      <w:pPr>
        <w:jc w:val="both"/>
        <w:rPr>
          <w:color w:val="333333"/>
          <w:sz w:val="24"/>
          <w:szCs w:val="24"/>
          <w:highlight w:val="white"/>
        </w:rPr>
      </w:pPr>
      <w:r w:rsidDel="00000000" w:rsidR="00000000" w:rsidRPr="00000000">
        <w:rPr>
          <w:color w:val="333333"/>
          <w:sz w:val="24"/>
          <w:szCs w:val="24"/>
          <w:highlight w:val="white"/>
          <w:rtl w:val="0"/>
        </w:rPr>
        <w:t xml:space="preserve">WHEREAS, the Washington State Economic and Revenue Forecast Council expects unemployment to peak at 19.2% by the end of September, 2020 with a recovery in employment to not fully occur until 2025; </w:t>
      </w:r>
    </w:p>
    <w:p w:rsidR="00000000" w:rsidDel="00000000" w:rsidP="00000000" w:rsidRDefault="00000000" w:rsidRPr="00000000" w14:paraId="00000012">
      <w:pPr>
        <w:jc w:val="both"/>
        <w:rPr>
          <w:color w:val="333333"/>
          <w:sz w:val="24"/>
          <w:szCs w:val="24"/>
          <w:highlight w:val="white"/>
        </w:rPr>
      </w:pPr>
      <w:r w:rsidDel="00000000" w:rsidR="00000000" w:rsidRPr="00000000">
        <w:rPr>
          <w:rtl w:val="0"/>
        </w:rPr>
      </w:r>
    </w:p>
    <w:p w:rsidR="00000000" w:rsidDel="00000000" w:rsidP="00000000" w:rsidRDefault="00000000" w:rsidRPr="00000000" w14:paraId="00000013">
      <w:pPr>
        <w:jc w:val="both"/>
        <w:rPr>
          <w:color w:val="333333"/>
          <w:sz w:val="24"/>
          <w:szCs w:val="24"/>
          <w:highlight w:val="white"/>
        </w:rPr>
      </w:pPr>
      <w:r w:rsidDel="00000000" w:rsidR="00000000" w:rsidRPr="00000000">
        <w:rPr>
          <w:color w:val="333333"/>
          <w:sz w:val="24"/>
          <w:szCs w:val="24"/>
          <w:highlight w:val="white"/>
          <w:rtl w:val="0"/>
        </w:rPr>
        <w:t xml:space="preserve">WHEREAS, in order to avoid a large increase in evictions and homelessness due to the impacts of the Civil Emergency, it is necessary to provide eviction protections to households that have faced loss of income due to COVID-19; </w:t>
      </w:r>
    </w:p>
    <w:p w:rsidR="00000000" w:rsidDel="00000000" w:rsidP="00000000" w:rsidRDefault="00000000" w:rsidRPr="00000000" w14:paraId="00000014">
      <w:pPr>
        <w:jc w:val="both"/>
        <w:rPr>
          <w:color w:val="333333"/>
          <w:sz w:val="24"/>
          <w:szCs w:val="24"/>
          <w:highlight w:val="white"/>
        </w:rPr>
      </w:pPr>
      <w:r w:rsidDel="00000000" w:rsidR="00000000" w:rsidRPr="00000000">
        <w:rPr>
          <w:rtl w:val="0"/>
        </w:rPr>
      </w:r>
    </w:p>
    <w:p w:rsidR="00000000" w:rsidDel="00000000" w:rsidP="00000000" w:rsidRDefault="00000000" w:rsidRPr="00000000" w14:paraId="00000015">
      <w:pPr>
        <w:jc w:val="both"/>
        <w:rPr>
          <w:color w:val="333333"/>
          <w:sz w:val="24"/>
          <w:szCs w:val="24"/>
          <w:highlight w:val="white"/>
        </w:rPr>
      </w:pPr>
      <w:r w:rsidDel="00000000" w:rsidR="00000000" w:rsidRPr="00000000">
        <w:rPr>
          <w:color w:val="333333"/>
          <w:sz w:val="24"/>
          <w:szCs w:val="24"/>
          <w:highlight w:val="white"/>
          <w:rtl w:val="0"/>
        </w:rPr>
        <w:t xml:space="preserve">WHEREAS, it is necessary to ensure that tenants who exercise rights under this Ordinance are protected from retaliation during the time period for which they exercise rights provided herein; </w:t>
      </w:r>
      <w:r w:rsidDel="00000000" w:rsidR="00000000" w:rsidRPr="00000000">
        <w:rPr>
          <w:rtl w:val="0"/>
        </w:rPr>
      </w:r>
    </w:p>
    <w:p w:rsidR="00000000" w:rsidDel="00000000" w:rsidP="00000000" w:rsidRDefault="00000000" w:rsidRPr="00000000" w14:paraId="00000016">
      <w:pPr>
        <w:spacing w:after="240" w:before="240" w:line="256.7994545454545" w:lineRule="auto"/>
        <w:jc w:val="both"/>
        <w:rPr>
          <w:sz w:val="24"/>
          <w:szCs w:val="24"/>
        </w:rPr>
      </w:pPr>
      <w:r w:rsidDel="00000000" w:rsidR="00000000" w:rsidRPr="00000000">
        <w:rPr>
          <w:b w:val="1"/>
          <w:sz w:val="24"/>
          <w:szCs w:val="24"/>
          <w:rtl w:val="0"/>
        </w:rPr>
        <w:t xml:space="preserve">Section 1. No Residential Eviction for Nonpayment of Rent that Became Due During the Local Emergency.</w:t>
      </w:r>
      <w:r w:rsidDel="00000000" w:rsidR="00000000" w:rsidRPr="00000000">
        <w:rPr>
          <w:sz w:val="24"/>
          <w:szCs w:val="24"/>
          <w:rtl w:val="0"/>
        </w:rPr>
        <w:t xml:space="preserve">  In any action for unlawful detainer due to nonpayment of rent, it shall be a defense that the unpaid rent became due during the Civil Emergency and was unpaid because of a substantial reduction in household income or substantial increase in expenses resulting from the Coronavirus pandemic.  This includes, but is not limited to, where, as a result of the Coronavirus pandemic, the tenant suffered a loss of employment or a reduction in hours, was unable to work because their children were out of school, was unable to work because they were sick with COVID-19 or caring for a household or family member who was sick with COVID-19, they were complying with a recommendation from a government agency to self-quarantine, including to avoid risk of medical complications to themselves or others, or they incurred substantial out of pocket medical expenses due to COVID-19.  Any notice served on a residential tenant demanding rent that became due during the Civil Emergency shall include the following statement in bold underlined 12- point type: “</w:t>
      </w:r>
      <w:r w:rsidDel="00000000" w:rsidR="00000000" w:rsidRPr="00000000">
        <w:rPr>
          <w:b w:val="1"/>
          <w:sz w:val="24"/>
          <w:szCs w:val="24"/>
          <w:u w:val="single"/>
          <w:rtl w:val="0"/>
        </w:rPr>
        <w:t xml:space="preserve">You may not be evicted for rent that became due during the Civil Emergency if the rent was unpaid because of a substantial reduction in household income or a substantial increase in expenses related to the Coronavirus pandemic. </w:t>
      </w:r>
      <w:r w:rsidDel="00000000" w:rsidR="00000000" w:rsidRPr="00000000">
        <w:rPr>
          <w:b w:val="1"/>
          <w:sz w:val="24"/>
          <w:szCs w:val="24"/>
          <w:u w:val="single"/>
          <w:rtl w:val="0"/>
        </w:rPr>
        <w:t xml:space="preserve">This does not relieve you of the obligation to pay back rent in the future</w:t>
      </w:r>
      <w:r w:rsidDel="00000000" w:rsidR="00000000" w:rsidRPr="00000000">
        <w:rPr>
          <w:b w:val="1"/>
          <w:sz w:val="24"/>
          <w:szCs w:val="24"/>
          <w:u w:val="single"/>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Nothing in this subsection shall relieve the tenant of liability for the unpaid rent. </w:t>
      </w:r>
    </w:p>
    <w:p w:rsidR="00000000" w:rsidDel="00000000" w:rsidP="00000000" w:rsidRDefault="00000000" w:rsidRPr="00000000" w14:paraId="00000017">
      <w:pPr>
        <w:spacing w:after="240" w:line="256.7994545454545" w:lineRule="auto"/>
        <w:jc w:val="both"/>
        <w:rPr>
          <w:sz w:val="24"/>
          <w:szCs w:val="24"/>
        </w:rPr>
      </w:pPr>
      <w:r w:rsidDel="00000000" w:rsidR="00000000" w:rsidRPr="00000000">
        <w:rPr>
          <w:b w:val="1"/>
          <w:sz w:val="24"/>
          <w:szCs w:val="24"/>
          <w:rtl w:val="0"/>
        </w:rPr>
        <w:t xml:space="preserve">SECTION 2.  Late Fees and Other Charges Prohibited. </w:t>
      </w:r>
      <w:r w:rsidDel="00000000" w:rsidR="00000000" w:rsidRPr="00000000">
        <w:rPr>
          <w:sz w:val="24"/>
          <w:szCs w:val="24"/>
          <w:rtl w:val="0"/>
        </w:rPr>
        <w:t xml:space="preserve"> Notwithstanding any lease provision to the contrary, for residential tenancies, no late fees or other charges arising out of nonpayment of rent, including those incurred for the collection of such rent, may be imposed against any tenant for rent that became due during the Civil Emergency. </w:t>
      </w:r>
    </w:p>
    <w:p w:rsidR="00000000" w:rsidDel="00000000" w:rsidP="00000000" w:rsidRDefault="00000000" w:rsidRPr="00000000" w14:paraId="00000018">
      <w:pPr>
        <w:spacing w:after="240" w:line="256.7994545454545" w:lineRule="auto"/>
        <w:jc w:val="both"/>
        <w:rPr>
          <w:sz w:val="24"/>
          <w:szCs w:val="24"/>
        </w:rPr>
      </w:pPr>
      <w:r w:rsidDel="00000000" w:rsidR="00000000" w:rsidRPr="00000000">
        <w:rPr>
          <w:b w:val="1"/>
          <w:sz w:val="24"/>
          <w:szCs w:val="24"/>
          <w:rtl w:val="0"/>
        </w:rPr>
        <w:t xml:space="preserve">SECTION 3. </w:t>
        <w:tab/>
        <w:t xml:space="preserve"> Payment Plans Required</w:t>
      </w:r>
      <w:r w:rsidDel="00000000" w:rsidR="00000000" w:rsidRPr="00000000">
        <w:rPr>
          <w:sz w:val="24"/>
          <w:szCs w:val="24"/>
          <w:rtl w:val="0"/>
        </w:rPr>
        <w:t xml:space="preserve">. No landlord may undertake any collection activity against a tenant for any unpaid rent that became due during the Civil Emergency and was unpaid because of a substantial reduction in household income or substantial increase in expenses resulting from the Coronavirus pandemic, including those bases set forth in Section 1 of this Ordinance, unless the landlord has offered a payment plan pursuant to this section 3. Any landlord seeking rent subject to this section shall offer a payment plan providing for the following payment arrangements: a) if the tenant owes one month of rent or less, it shall be payable in at least three installments; b) if the tenant owes more than one month of rent but no more than 2 months of rent, it shall be payable in at least six installments; c) if the tenant owes more than 2 months of rent, the landlord shall provide 12 months for the tenant to repay the full amount. Any such payment plan shall not require payment until sixty days after the termination of the Civil Emergency. Nothing in this section 3 shall prohibit the landlord from providing payment plan agreements with terms more favorable to the tenant. For purposes of this section 3, “collection activity” includes attempts to collect, or threats to collect, through a collection agency, by filing a judicial action for a monetary judgment, withholding any portion of a security deposit, billing or invoicing, reporting to credit bureaus, or by any other means.</w:t>
      </w:r>
    </w:p>
    <w:p w:rsidR="00000000" w:rsidDel="00000000" w:rsidP="00000000" w:rsidRDefault="00000000" w:rsidRPr="00000000" w14:paraId="00000019">
      <w:pPr>
        <w:spacing w:after="240" w:line="256.7994545454545" w:lineRule="auto"/>
        <w:jc w:val="both"/>
        <w:rPr>
          <w:sz w:val="24"/>
          <w:szCs w:val="24"/>
        </w:rPr>
      </w:pPr>
      <w:r w:rsidDel="00000000" w:rsidR="00000000" w:rsidRPr="00000000">
        <w:rPr>
          <w:b w:val="1"/>
          <w:sz w:val="24"/>
          <w:szCs w:val="24"/>
          <w:rtl w:val="0"/>
        </w:rPr>
        <w:t xml:space="preserve">SECTION 4. Termination and Retaliation Prohibited.</w:t>
      </w:r>
      <w:r w:rsidDel="00000000" w:rsidR="00000000" w:rsidRPr="00000000">
        <w:rPr>
          <w:sz w:val="24"/>
          <w:szCs w:val="24"/>
          <w:rtl w:val="0"/>
        </w:rPr>
        <w:t xml:space="preserve"> (1) No rental agreement may be terminated by the landlord pursuant to RCW 59.12.030(2), RCW 59.18.200 or RCW 59.18.220 where the tenant has entered into a payment plan pursuant to Section 3 of this Ordinance until after the tenant has completed the payment plan, the tenant has defaulted on the payment plan, or the tenant has refused to enter into a payment plan within 60 days of termination of the Civil Emergency. This section 4 shall not prohibit a landlord from otherwise terminating a tenancy subject to this Ordinance due to behavior resulting in an imminent threat to health and safety of other persons on the premises. </w:t>
      </w:r>
    </w:p>
    <w:p w:rsidR="00000000" w:rsidDel="00000000" w:rsidP="00000000" w:rsidRDefault="00000000" w:rsidRPr="00000000" w14:paraId="0000001A">
      <w:pPr>
        <w:spacing w:after="240" w:line="256.7994545454545" w:lineRule="auto"/>
        <w:jc w:val="both"/>
        <w:rPr>
          <w:sz w:val="24"/>
          <w:szCs w:val="24"/>
        </w:rPr>
      </w:pPr>
      <w:r w:rsidDel="00000000" w:rsidR="00000000" w:rsidRPr="00000000">
        <w:rPr>
          <w:sz w:val="24"/>
          <w:szCs w:val="24"/>
          <w:rtl w:val="0"/>
        </w:rPr>
        <w:t xml:space="preserve">(2) No landlord may take any reprisal or retaliatory action against a tenant who exercises rights under this Ordinance. There is a presumption that the action of the landlord violates this subsection (2) of section 4 if such action occurs during a payment plan period or 60 days after completing the payment plan. </w:t>
      </w:r>
    </w:p>
    <w:p w:rsidR="00000000" w:rsidDel="00000000" w:rsidP="00000000" w:rsidRDefault="00000000" w:rsidRPr="00000000" w14:paraId="0000001B">
      <w:pPr>
        <w:spacing w:after="240" w:line="256.7994545454545" w:lineRule="auto"/>
        <w:jc w:val="both"/>
        <w:rPr>
          <w:sz w:val="24"/>
          <w:szCs w:val="24"/>
        </w:rPr>
      </w:pPr>
      <w:r w:rsidDel="00000000" w:rsidR="00000000" w:rsidRPr="00000000">
        <w:rPr>
          <w:b w:val="1"/>
          <w:sz w:val="24"/>
          <w:szCs w:val="24"/>
          <w:rtl w:val="0"/>
        </w:rPr>
        <w:t xml:space="preserve">SECTION 5. Early termination of rental agreements. </w:t>
      </w:r>
      <w:r w:rsidDel="00000000" w:rsidR="00000000" w:rsidRPr="00000000">
        <w:rPr>
          <w:sz w:val="24"/>
          <w:szCs w:val="24"/>
          <w:rtl w:val="0"/>
        </w:rPr>
        <w:t xml:space="preserve">Any tenant falling behind on rent due to the reasons set forth in Section 1 of this Ordinance may terminate a tenancy without additional penalties and with the tenant owing rent through the month in which the tenant vacates the dwelling unit. Any rent owed by the tenant shall be subject to a payment plan as set forth in Section 3 of this Ordinance. </w:t>
      </w:r>
    </w:p>
    <w:p w:rsidR="00000000" w:rsidDel="00000000" w:rsidP="00000000" w:rsidRDefault="00000000" w:rsidRPr="00000000" w14:paraId="0000001C">
      <w:pPr>
        <w:spacing w:after="240" w:line="256.7994545454545" w:lineRule="auto"/>
        <w:jc w:val="both"/>
        <w:rPr>
          <w:sz w:val="24"/>
          <w:szCs w:val="24"/>
        </w:rPr>
      </w:pPr>
      <w:r w:rsidDel="00000000" w:rsidR="00000000" w:rsidRPr="00000000">
        <w:rPr>
          <w:b w:val="1"/>
          <w:sz w:val="24"/>
          <w:szCs w:val="24"/>
          <w:rtl w:val="0"/>
        </w:rPr>
        <w:t xml:space="preserve">SECTION 6</w:t>
      </w:r>
      <w:r w:rsidDel="00000000" w:rsidR="00000000" w:rsidRPr="00000000">
        <w:rPr>
          <w:sz w:val="24"/>
          <w:szCs w:val="24"/>
          <w:rtl w:val="0"/>
        </w:rPr>
        <w:t xml:space="preserve">.</w:t>
      </w:r>
      <w:r w:rsidDel="00000000" w:rsidR="00000000" w:rsidRPr="00000000">
        <w:rPr>
          <w:b w:val="1"/>
          <w:sz w:val="24"/>
          <w:szCs w:val="24"/>
          <w:rtl w:val="0"/>
        </w:rPr>
        <w:t xml:space="preserve"> Definitions</w:t>
      </w:r>
      <w:r w:rsidDel="00000000" w:rsidR="00000000" w:rsidRPr="00000000">
        <w:rPr>
          <w:sz w:val="24"/>
          <w:szCs w:val="24"/>
          <w:rtl w:val="0"/>
        </w:rPr>
        <w:t xml:space="preserve">. For purposes of this Ordinance, the following definitions apply: </w:t>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sz w:val="24"/>
          <w:szCs w:val="24"/>
          <w:rtl w:val="0"/>
        </w:rPr>
        <w:t xml:space="preserve">“Civil emergency” shall refer to the Governor of the State of Washington’s Proclamation 20-05, proclaiming a State of Emergency for all counties throughout Washington State on February 29, 2020 and any subsequent orders extending or amending such Civil Emergency due to COVID-19 until such Civil Emergency is ended by the Governor of the State of Washington. </w:t>
      </w:r>
    </w:p>
    <w:p w:rsidR="00000000" w:rsidDel="00000000" w:rsidP="00000000" w:rsidRDefault="00000000" w:rsidRPr="00000000" w14:paraId="0000001E">
      <w:pPr>
        <w:numPr>
          <w:ilvl w:val="0"/>
          <w:numId w:val="1"/>
        </w:numPr>
        <w:ind w:left="720" w:hanging="360"/>
        <w:rPr>
          <w:sz w:val="24"/>
          <w:szCs w:val="24"/>
        </w:rPr>
      </w:pPr>
      <w:r w:rsidDel="00000000" w:rsidR="00000000" w:rsidRPr="00000000">
        <w:rPr>
          <w:sz w:val="24"/>
          <w:szCs w:val="24"/>
          <w:rtl w:val="0"/>
        </w:rPr>
        <w:t xml:space="preserve">“Landlord” shall have the same definition as that found in RCW 59.18.030(15) and RCW 59.20.030(6).  </w:t>
      </w:r>
    </w:p>
    <w:p w:rsidR="00000000" w:rsidDel="00000000" w:rsidP="00000000" w:rsidRDefault="00000000" w:rsidRPr="00000000" w14:paraId="0000001F">
      <w:pPr>
        <w:numPr>
          <w:ilvl w:val="0"/>
          <w:numId w:val="1"/>
        </w:numPr>
        <w:ind w:left="720" w:hanging="360"/>
        <w:rPr>
          <w:sz w:val="24"/>
          <w:szCs w:val="24"/>
        </w:rPr>
      </w:pPr>
      <w:r w:rsidDel="00000000" w:rsidR="00000000" w:rsidRPr="00000000">
        <w:rPr>
          <w:sz w:val="24"/>
          <w:szCs w:val="24"/>
          <w:rtl w:val="0"/>
        </w:rPr>
        <w:t xml:space="preserve">“Rent” shall have the same definition as RCW 59.18.030(28).</w:t>
      </w:r>
    </w:p>
    <w:p w:rsidR="00000000" w:rsidDel="00000000" w:rsidP="00000000" w:rsidRDefault="00000000" w:rsidRPr="00000000" w14:paraId="00000020">
      <w:pPr>
        <w:numPr>
          <w:ilvl w:val="0"/>
          <w:numId w:val="1"/>
        </w:numPr>
        <w:spacing w:after="0" w:afterAutospacing="0" w:line="256.7994545454545" w:lineRule="auto"/>
        <w:ind w:left="720" w:hanging="360"/>
        <w:jc w:val="both"/>
        <w:rPr>
          <w:sz w:val="24"/>
          <w:szCs w:val="24"/>
        </w:rPr>
      </w:pPr>
      <w:r w:rsidDel="00000000" w:rsidR="00000000" w:rsidRPr="00000000">
        <w:rPr>
          <w:sz w:val="24"/>
          <w:szCs w:val="24"/>
          <w:rtl w:val="0"/>
        </w:rPr>
        <w:t xml:space="preserve">“Reprisal or retaliatory action” shall have the same definition as that set forth in RCW 59.18.240(2). </w:t>
      </w:r>
    </w:p>
    <w:p w:rsidR="00000000" w:rsidDel="00000000" w:rsidP="00000000" w:rsidRDefault="00000000" w:rsidRPr="00000000" w14:paraId="00000021">
      <w:pPr>
        <w:numPr>
          <w:ilvl w:val="0"/>
          <w:numId w:val="1"/>
        </w:numPr>
        <w:ind w:left="720" w:hanging="360"/>
        <w:rPr>
          <w:sz w:val="24"/>
          <w:szCs w:val="24"/>
        </w:rPr>
      </w:pPr>
      <w:r w:rsidDel="00000000" w:rsidR="00000000" w:rsidRPr="00000000">
        <w:rPr>
          <w:sz w:val="24"/>
          <w:szCs w:val="24"/>
          <w:rtl w:val="0"/>
        </w:rPr>
        <w:t xml:space="preserve"> “Tenant” shall refer to any individual renting a dwelling unit or lot primarily for living purposes, including anyone’s with a tenancy subject to RCW 59.18 and RCW 59.20.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spacing w:after="240" w:line="256.7994545454545" w:lineRule="auto"/>
        <w:jc w:val="both"/>
        <w:rPr>
          <w:sz w:val="24"/>
          <w:szCs w:val="24"/>
        </w:rPr>
      </w:pPr>
      <w:r w:rsidDel="00000000" w:rsidR="00000000" w:rsidRPr="00000000">
        <w:rPr>
          <w:b w:val="1"/>
          <w:sz w:val="24"/>
          <w:szCs w:val="24"/>
          <w:rtl w:val="0"/>
        </w:rPr>
        <w:t xml:space="preserve">SECTION 7. Effective date</w:t>
      </w:r>
      <w:r w:rsidDel="00000000" w:rsidR="00000000" w:rsidRPr="00000000">
        <w:rPr>
          <w:sz w:val="24"/>
          <w:szCs w:val="24"/>
          <w:rtl w:val="0"/>
        </w:rPr>
        <w:t xml:space="preserve">. As an emergency measure necessary to ensure public health and safety, the ordinance shall take effect immediately upon passage. </w:t>
      </w:r>
    </w:p>
    <w:p w:rsidR="00000000" w:rsidDel="00000000" w:rsidP="00000000" w:rsidRDefault="00000000" w:rsidRPr="00000000" w14:paraId="00000024">
      <w:pPr>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